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0" w:rsidRPr="00025E88" w:rsidRDefault="008B3270" w:rsidP="0002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</w:p>
    <w:p w:rsidR="008B3270" w:rsidRPr="00025E88" w:rsidRDefault="008B3270" w:rsidP="0002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</w:p>
    <w:p w:rsidR="00F72517" w:rsidRPr="00025E88" w:rsidRDefault="00F72517" w:rsidP="0002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025E88">
        <w:rPr>
          <w:rFonts w:ascii="Arial" w:hAnsi="Arial" w:cs="Arial"/>
          <w:b/>
          <w:sz w:val="24"/>
          <w:szCs w:val="24"/>
          <w:lang w:val="es-PR"/>
        </w:rPr>
        <w:t>AUTORIDAD DE CARRETERAS Y TRANSPORTACIÓN</w:t>
      </w:r>
    </w:p>
    <w:p w:rsidR="00D56ADC" w:rsidRPr="00025E88" w:rsidRDefault="00F72517" w:rsidP="0002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025E88">
        <w:rPr>
          <w:rFonts w:ascii="Arial" w:hAnsi="Arial" w:cs="Arial"/>
          <w:b/>
          <w:sz w:val="24"/>
          <w:szCs w:val="24"/>
          <w:lang w:val="es-PR"/>
        </w:rPr>
        <w:t>PONENCIA</w:t>
      </w:r>
    </w:p>
    <w:p w:rsidR="00F72517" w:rsidRDefault="00F72517" w:rsidP="0002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025E88">
        <w:rPr>
          <w:rFonts w:ascii="Arial" w:hAnsi="Arial" w:cs="Arial"/>
          <w:b/>
          <w:sz w:val="24"/>
          <w:szCs w:val="24"/>
          <w:lang w:val="es-PR"/>
        </w:rPr>
        <w:t>INFORME DE TRANSICIÓN 2016</w:t>
      </w:r>
    </w:p>
    <w:p w:rsidR="00025E88" w:rsidRPr="00025E88" w:rsidRDefault="00025E88" w:rsidP="00025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</w:p>
    <w:p w:rsidR="00B9662D" w:rsidRDefault="00F72517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Conforme las disposiciones de la Ley Núm. 197 del 2002, según enmendada, conocida como </w:t>
      </w:r>
      <w:r w:rsidRPr="00025E88">
        <w:rPr>
          <w:rFonts w:ascii="Arial" w:hAnsi="Arial" w:cs="Arial"/>
          <w:i/>
          <w:sz w:val="24"/>
          <w:szCs w:val="24"/>
          <w:lang w:val="es-PR"/>
        </w:rPr>
        <w:t xml:space="preserve">Ley del Proceso de la Transición del Gobierno, 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la Autoridad de Carreteras y Transportación realizó el informe de transición el cual se sometió el 14 de octubre de 2016. </w:t>
      </w:r>
      <w:r w:rsidR="00C00E2E" w:rsidRPr="00025E88">
        <w:rPr>
          <w:rFonts w:ascii="Arial" w:hAnsi="Arial" w:cs="Arial"/>
          <w:sz w:val="24"/>
          <w:szCs w:val="24"/>
          <w:lang w:val="es-PR"/>
        </w:rPr>
        <w:t>Dicho informe</w:t>
      </w:r>
      <w:r w:rsidR="00464616" w:rsidRPr="00025E88">
        <w:rPr>
          <w:rFonts w:ascii="Arial" w:hAnsi="Arial" w:cs="Arial"/>
          <w:sz w:val="24"/>
          <w:szCs w:val="24"/>
          <w:lang w:val="es-PR"/>
        </w:rPr>
        <w:t>, sometido en formato electrónico a través del portal designado,</w:t>
      </w:r>
      <w:r w:rsidR="00C00E2E" w:rsidRPr="00025E88">
        <w:rPr>
          <w:rFonts w:ascii="Arial" w:hAnsi="Arial" w:cs="Arial"/>
          <w:sz w:val="24"/>
          <w:szCs w:val="24"/>
          <w:lang w:val="es-PR"/>
        </w:rPr>
        <w:t xml:space="preserve"> incluye la descripción detallada y estatus de la situación del personal, copia del plan de clasificación y retribución, estatus y planes de cada una de las unidades administrativas,  situación financiera, descripción de la cartera de inversiones, inventario de propiedad, acciones judiciales, subastas en proceso, reglamentos, memorandos, circulares y normas propias, leyes aprobadas que impactan la agencia, copia de los planes de acción correctivas, copa de los contratos vigentes, entre otra información pertinente para llevar a cabo una transición efectiva, seria y transparente.</w:t>
      </w:r>
      <w:r w:rsidR="00CA4D46" w:rsidRPr="00025E88">
        <w:rPr>
          <w:rFonts w:ascii="Arial" w:hAnsi="Arial" w:cs="Arial"/>
          <w:sz w:val="24"/>
          <w:szCs w:val="24"/>
          <w:lang w:val="es-PR"/>
        </w:rPr>
        <w:t xml:space="preserve"> Para referencia detallada el informe se encuentra en su totalidad físicamente en la </w:t>
      </w:r>
      <w:r w:rsidR="00464616" w:rsidRPr="00025E88">
        <w:rPr>
          <w:rFonts w:ascii="Arial" w:hAnsi="Arial" w:cs="Arial"/>
          <w:sz w:val="24"/>
          <w:szCs w:val="24"/>
          <w:lang w:val="es-PR"/>
        </w:rPr>
        <w:t>Autoridad de Carreteras y Transportación (en lo sucesivo “</w:t>
      </w:r>
      <w:r w:rsidR="00A356BD" w:rsidRPr="00025E88">
        <w:rPr>
          <w:rFonts w:ascii="Arial" w:hAnsi="Arial" w:cs="Arial"/>
          <w:sz w:val="24"/>
          <w:szCs w:val="24"/>
          <w:lang w:val="es-PR"/>
        </w:rPr>
        <w:t>ACT</w:t>
      </w:r>
      <w:r w:rsidR="00464616" w:rsidRPr="00025E88">
        <w:rPr>
          <w:rFonts w:ascii="Arial" w:hAnsi="Arial" w:cs="Arial"/>
          <w:sz w:val="24"/>
          <w:szCs w:val="24"/>
          <w:lang w:val="es-PR"/>
        </w:rPr>
        <w:t>”). No obstante ello, a</w:t>
      </w:r>
      <w:r w:rsidR="00A356BD" w:rsidRPr="00025E88">
        <w:rPr>
          <w:rFonts w:ascii="Arial" w:hAnsi="Arial" w:cs="Arial"/>
          <w:sz w:val="24"/>
          <w:szCs w:val="24"/>
          <w:lang w:val="es-PR"/>
        </w:rPr>
        <w:t xml:space="preserve"> continuación se </w:t>
      </w:r>
      <w:r w:rsidR="00464616" w:rsidRPr="00025E88">
        <w:rPr>
          <w:rFonts w:ascii="Arial" w:hAnsi="Arial" w:cs="Arial"/>
          <w:sz w:val="24"/>
          <w:szCs w:val="24"/>
          <w:lang w:val="es-PR"/>
        </w:rPr>
        <w:t>resume en esta ponencia</w:t>
      </w:r>
      <w:r w:rsidR="00A356BD" w:rsidRPr="00025E88">
        <w:rPr>
          <w:rFonts w:ascii="Arial" w:hAnsi="Arial" w:cs="Arial"/>
          <w:sz w:val="24"/>
          <w:szCs w:val="24"/>
          <w:lang w:val="es-PR"/>
        </w:rPr>
        <w:t xml:space="preserve"> alguna de las gestiones que quisiéramos resaltar de dicho informe. 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CA4D46" w:rsidRDefault="00CA4D46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>Introducción: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72517" w:rsidRDefault="00F72517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CA4D46" w:rsidRPr="00025E88">
        <w:rPr>
          <w:rFonts w:ascii="Arial" w:hAnsi="Arial" w:cs="Arial"/>
          <w:sz w:val="24"/>
          <w:szCs w:val="24"/>
          <w:lang w:val="es-ES_tradnl"/>
        </w:rPr>
        <w:t>ACT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 es una corporación pública creada mediante la Ley Núm. 74 de 23 de junio de 1965, según enmendada.  La misión de la ACT es estimular el desarrollo socioeconómico de Puerto Rico, a través de un sistema de transportación integrado, acompañado de una infraestructura eficiente y ambientalmente sostenible. La visión de la ACT es llevar a Puerto Rico hacia el desarrollo económico mediante un sistema de transportación eficiente, seguro y en armonía con el ambiente, procurando una prestación de servicios de vanguardia y excelencia. 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72517" w:rsidRPr="00025E88" w:rsidRDefault="00F72517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>Presupuesto aprobado para el Año Fiscal 2016-2017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F0C76" w:rsidRPr="00025E88" w:rsidRDefault="00D932D2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sz w:val="24"/>
          <w:szCs w:val="24"/>
          <w:lang w:val="es-ES_tradnl"/>
        </w:rPr>
        <w:t>El presupuesto aprobado por Junta de Directores de la ACT es</w:t>
      </w:r>
      <w:r w:rsidR="00F72517" w:rsidRPr="00025E8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1546" w:rsidRPr="00025E88">
        <w:rPr>
          <w:rFonts w:ascii="Arial" w:hAnsi="Arial" w:cs="Arial"/>
          <w:sz w:val="24"/>
          <w:szCs w:val="24"/>
          <w:lang w:val="es-ES_tradnl"/>
        </w:rPr>
        <w:t xml:space="preserve">hasta </w:t>
      </w:r>
      <w:r w:rsidR="00BB1546" w:rsidRPr="00025E88">
        <w:rPr>
          <w:rFonts w:ascii="Arial" w:hAnsi="Arial" w:cs="Arial"/>
          <w:sz w:val="24"/>
          <w:szCs w:val="24"/>
          <w:u w:val="single"/>
          <w:lang w:val="es-ES_tradnl"/>
        </w:rPr>
        <w:t>enero del 2017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F72517" w:rsidRPr="00025E88">
        <w:rPr>
          <w:rFonts w:ascii="Arial" w:hAnsi="Arial" w:cs="Arial"/>
          <w:sz w:val="24"/>
          <w:szCs w:val="24"/>
          <w:lang w:val="es-ES_tradnl"/>
        </w:rPr>
        <w:t xml:space="preserve"> asciende a </w:t>
      </w:r>
      <w:r w:rsidR="00BB1546" w:rsidRPr="00025E88">
        <w:rPr>
          <w:rFonts w:ascii="Arial" w:hAnsi="Arial" w:cs="Arial"/>
          <w:sz w:val="24"/>
          <w:szCs w:val="24"/>
          <w:lang w:val="es-ES_tradnl"/>
        </w:rPr>
        <w:t>$305</w:t>
      </w:r>
      <w:proofErr w:type="gramStart"/>
      <w:r w:rsidR="00BB1546" w:rsidRPr="00025E88">
        <w:rPr>
          <w:rFonts w:ascii="Arial" w:hAnsi="Arial" w:cs="Arial"/>
          <w:sz w:val="24"/>
          <w:szCs w:val="24"/>
          <w:lang w:val="es-ES_tradnl"/>
        </w:rPr>
        <w:t>,258,000.00</w:t>
      </w:r>
      <w:proofErr w:type="gramEnd"/>
      <w:r w:rsidR="00F72517" w:rsidRPr="00025E88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E3F82" w:rsidRPr="00025E88">
        <w:rPr>
          <w:rFonts w:ascii="Arial" w:hAnsi="Arial" w:cs="Arial"/>
          <w:sz w:val="24"/>
          <w:szCs w:val="24"/>
          <w:lang w:val="es-ES_tradnl"/>
        </w:rPr>
        <w:t xml:space="preserve">Los recursos incluyen </w:t>
      </w:r>
      <w:r w:rsidR="00BB1546" w:rsidRPr="00025E88">
        <w:rPr>
          <w:rFonts w:ascii="Arial" w:hAnsi="Arial" w:cs="Arial"/>
          <w:sz w:val="24"/>
          <w:szCs w:val="24"/>
          <w:lang w:val="es-ES_tradnl"/>
        </w:rPr>
        <w:t>fondos federales, arbitrios a los productos derivados del petróleo, cigarrillos, derechos de vehículos de motor y peajes.</w:t>
      </w:r>
    </w:p>
    <w:p w:rsidR="000F0C76" w:rsidRPr="00025E88" w:rsidRDefault="000F0C76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sz w:val="24"/>
          <w:szCs w:val="24"/>
          <w:lang w:val="es-ES_tradnl"/>
        </w:rPr>
        <w:t>En cumplimiento con las disposiciones de la Ley 66-2014 “</w:t>
      </w:r>
      <w:r w:rsidRPr="00025E88">
        <w:rPr>
          <w:rFonts w:ascii="Arial" w:hAnsi="Arial" w:cs="Arial"/>
          <w:i/>
          <w:sz w:val="24"/>
          <w:szCs w:val="24"/>
          <w:lang w:val="es-ES_tradnl"/>
        </w:rPr>
        <w:t>Ley Especial de Sostenibilidad Fiscal y Operacional del Gobierno del Estado Libre Asociado de Puerto Rico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”  en los años 2015 y 2016 se lograron ahorros en salarios y beneficios en un 62% para ambos años. Asimismo, para esos años hubo una reducción de 49.5% y 37%, respectivamente   en la contratación de servicios profesionales. </w:t>
      </w:r>
    </w:p>
    <w:p w:rsidR="008B3270" w:rsidRPr="00025E88" w:rsidRDefault="008B3270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B3270" w:rsidRDefault="008B3270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56BD" w:rsidRPr="00025E88" w:rsidRDefault="00A356BD" w:rsidP="00025E8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51EE11" wp14:editId="1626DC9E">
            <wp:extent cx="4008592" cy="175875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23" cy="175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ECF" w:rsidRDefault="00F46ECF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En </w:t>
      </w:r>
      <w:r w:rsidR="00F7099A" w:rsidRPr="00025E88">
        <w:rPr>
          <w:rFonts w:ascii="Arial" w:hAnsi="Arial" w:cs="Arial"/>
          <w:sz w:val="24"/>
          <w:szCs w:val="24"/>
          <w:lang w:val="es-PR"/>
        </w:rPr>
        <w:t>aras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de corregir las deficiencias presupuestarias, producto de  las múltiples líneas de pago que a través de los años se utilizaron como fuente de financiamiento</w:t>
      </w:r>
      <w:r w:rsidR="00F7099A" w:rsidRPr="00025E88">
        <w:rPr>
          <w:rFonts w:ascii="Arial" w:hAnsi="Arial" w:cs="Arial"/>
          <w:sz w:val="24"/>
          <w:szCs w:val="24"/>
          <w:lang w:val="es-PR"/>
        </w:rPr>
        <w:t xml:space="preserve"> pero sin fuente de repago, </w:t>
      </w:r>
      <w:r w:rsidRPr="00025E88">
        <w:rPr>
          <w:rFonts w:ascii="Arial" w:hAnsi="Arial" w:cs="Arial"/>
          <w:sz w:val="24"/>
          <w:szCs w:val="24"/>
          <w:lang w:val="es-PR"/>
        </w:rPr>
        <w:t>se adoptaron las siguientes medidas ingreso</w:t>
      </w:r>
      <w:r w:rsidR="008E3F82" w:rsidRPr="00025E88">
        <w:rPr>
          <w:rFonts w:ascii="Arial" w:hAnsi="Arial" w:cs="Arial"/>
          <w:sz w:val="24"/>
          <w:szCs w:val="24"/>
          <w:lang w:val="es-PR"/>
        </w:rPr>
        <w:t xml:space="preserve"> de impacto positivo para la ACT</w:t>
      </w:r>
      <w:r w:rsidRPr="00025E88">
        <w:rPr>
          <w:rFonts w:ascii="Arial" w:hAnsi="Arial" w:cs="Arial"/>
          <w:sz w:val="24"/>
          <w:szCs w:val="24"/>
          <w:lang w:val="es-PR"/>
        </w:rPr>
        <w:t>: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46ECF" w:rsidRPr="00025E88" w:rsidRDefault="00F46ECF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En junio del 2013 </w:t>
      </w:r>
      <w:r w:rsidR="00F7099A" w:rsidRPr="00025E88">
        <w:rPr>
          <w:rFonts w:ascii="Arial" w:hAnsi="Arial" w:cs="Arial"/>
          <w:sz w:val="24"/>
          <w:szCs w:val="24"/>
          <w:lang w:val="es-PR"/>
        </w:rPr>
        <w:t>la Legislatura aprobó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las Leyes 30 y 31, </w:t>
      </w:r>
      <w:r w:rsidR="008E3F82" w:rsidRPr="00025E88">
        <w:rPr>
          <w:rFonts w:ascii="Arial" w:hAnsi="Arial" w:cs="Arial"/>
          <w:sz w:val="24"/>
          <w:szCs w:val="24"/>
          <w:lang w:val="es-PR"/>
        </w:rPr>
        <w:t>mediante la</w:t>
      </w:r>
      <w:r w:rsidR="00F7099A" w:rsidRPr="00025E88">
        <w:rPr>
          <w:rFonts w:ascii="Arial" w:hAnsi="Arial" w:cs="Arial"/>
          <w:sz w:val="24"/>
          <w:szCs w:val="24"/>
          <w:lang w:val="es-PR"/>
        </w:rPr>
        <w:t xml:space="preserve">s cuales se </w:t>
      </w:r>
      <w:r w:rsidR="008E3F82" w:rsidRPr="00025E88">
        <w:rPr>
          <w:rFonts w:ascii="Arial" w:hAnsi="Arial" w:cs="Arial"/>
          <w:sz w:val="24"/>
          <w:szCs w:val="24"/>
          <w:lang w:val="es-PR"/>
        </w:rPr>
        <w:t xml:space="preserve">aprobó </w:t>
      </w:r>
      <w:r w:rsidRPr="00025E88">
        <w:rPr>
          <w:rFonts w:ascii="Arial" w:hAnsi="Arial" w:cs="Arial"/>
          <w:sz w:val="24"/>
          <w:szCs w:val="24"/>
          <w:lang w:val="es-PR"/>
        </w:rPr>
        <w:t>un aumento en el arbitrio a los derivados del petróleo a $9.25 por barril en comparación con el arbitrio existente de $3.00 por barril.  A</w:t>
      </w:r>
      <w:r w:rsidR="008E3F82" w:rsidRPr="00025E88">
        <w:rPr>
          <w:rFonts w:ascii="Arial" w:hAnsi="Arial" w:cs="Arial"/>
          <w:sz w:val="24"/>
          <w:szCs w:val="24"/>
          <w:lang w:val="es-PR"/>
        </w:rPr>
        <w:t>simismo</w:t>
      </w:r>
      <w:r w:rsidRPr="00025E88">
        <w:rPr>
          <w:rFonts w:ascii="Arial" w:hAnsi="Arial" w:cs="Arial"/>
          <w:sz w:val="24"/>
          <w:szCs w:val="24"/>
          <w:lang w:val="es-PR"/>
        </w:rPr>
        <w:t>, se le asig</w:t>
      </w:r>
      <w:r w:rsidR="008E3F82" w:rsidRPr="00025E88">
        <w:rPr>
          <w:rFonts w:ascii="Arial" w:hAnsi="Arial" w:cs="Arial"/>
          <w:sz w:val="24"/>
          <w:szCs w:val="24"/>
          <w:lang w:val="es-PR"/>
        </w:rPr>
        <w:t>nó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a la Autoridad $25.00 de los derechos de renovación de los vehículos de motor y una asignación de $20</w:t>
      </w:r>
      <w:proofErr w:type="gramStart"/>
      <w:r w:rsidRPr="00025E88">
        <w:rPr>
          <w:rFonts w:ascii="Arial" w:hAnsi="Arial" w:cs="Arial"/>
          <w:sz w:val="24"/>
          <w:szCs w:val="24"/>
          <w:lang w:val="es-PR"/>
        </w:rPr>
        <w:t>,000,000</w:t>
      </w:r>
      <w:proofErr w:type="gramEnd"/>
      <w:r w:rsidRPr="00025E88">
        <w:rPr>
          <w:rFonts w:ascii="Arial" w:hAnsi="Arial" w:cs="Arial"/>
          <w:sz w:val="24"/>
          <w:szCs w:val="24"/>
          <w:lang w:val="es-PR"/>
        </w:rPr>
        <w:t xml:space="preserve"> del arbitrio del cigarrillo que recauda el Secretario de Hacienda.</w:t>
      </w:r>
    </w:p>
    <w:p w:rsidR="00CA4D46" w:rsidRPr="00025E88" w:rsidRDefault="00CA4D46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F46ECF" w:rsidRPr="00025E88" w:rsidRDefault="00F46ECF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Se restableció la tarifa original del Tren Urbano a $1.50 por viaje, la cual había sido reducida a $0.75.</w:t>
      </w:r>
    </w:p>
    <w:p w:rsidR="00CA4D46" w:rsidRPr="00025E88" w:rsidRDefault="00CA4D46" w:rsidP="00025E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CA4D46" w:rsidRPr="00025E88" w:rsidRDefault="00F46ECF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Se comenzó un esfuerzo para cobrar las multas electrónicas del Sistema de </w:t>
      </w:r>
      <w:proofErr w:type="spellStart"/>
      <w:r w:rsidRPr="00025E88">
        <w:rPr>
          <w:rFonts w:ascii="Arial" w:hAnsi="Arial" w:cs="Arial"/>
          <w:sz w:val="24"/>
          <w:szCs w:val="24"/>
          <w:lang w:val="es-PR"/>
        </w:rPr>
        <w:t>Autoexpreso</w:t>
      </w:r>
      <w:proofErr w:type="spellEnd"/>
      <w:r w:rsidRPr="00025E88">
        <w:rPr>
          <w:rFonts w:ascii="Arial" w:hAnsi="Arial" w:cs="Arial"/>
          <w:sz w:val="24"/>
          <w:szCs w:val="24"/>
          <w:lang w:val="es-PR"/>
        </w:rPr>
        <w:t xml:space="preserve"> que en administraciones anteriores no las cobraban.  Se le otorgaron descuentos a los deudores en el año 2014 y se legisló un procedimiento especial en el año 2015 donde se redujo la multa de $100.00 a $15.00.</w:t>
      </w:r>
      <w:r w:rsidR="00F7099A" w:rsidRPr="00025E88">
        <w:rPr>
          <w:rFonts w:ascii="Arial" w:hAnsi="Arial" w:cs="Arial"/>
          <w:sz w:val="24"/>
          <w:szCs w:val="24"/>
          <w:lang w:val="es-PR"/>
        </w:rPr>
        <w:t xml:space="preserve"> Además, se llevó a cabo un proceso de subasta para un nuevo operador del sistema de </w:t>
      </w:r>
      <w:proofErr w:type="spellStart"/>
      <w:r w:rsidR="00F7099A" w:rsidRPr="00025E88">
        <w:rPr>
          <w:rFonts w:ascii="Arial" w:hAnsi="Arial" w:cs="Arial"/>
          <w:sz w:val="24"/>
          <w:szCs w:val="24"/>
          <w:lang w:val="es-PR"/>
        </w:rPr>
        <w:t>AutoExpreso</w:t>
      </w:r>
      <w:proofErr w:type="spellEnd"/>
      <w:r w:rsidR="00F7099A" w:rsidRPr="00025E88">
        <w:rPr>
          <w:rFonts w:ascii="Arial" w:hAnsi="Arial" w:cs="Arial"/>
          <w:sz w:val="24"/>
          <w:szCs w:val="24"/>
          <w:lang w:val="es-PR"/>
        </w:rPr>
        <w:t xml:space="preserve"> que representa ahorros </w:t>
      </w:r>
      <w:r w:rsidR="00F7099A" w:rsidRPr="00025E88">
        <w:rPr>
          <w:rFonts w:ascii="Arial" w:hAnsi="Arial" w:cs="Arial"/>
          <w:sz w:val="24"/>
          <w:szCs w:val="24"/>
          <w:shd w:val="clear" w:color="auto" w:fill="FFFFFF" w:themeFill="background1"/>
          <w:lang w:val="es-PR"/>
        </w:rPr>
        <w:t>aproximados de $9 Millones</w:t>
      </w:r>
      <w:r w:rsidR="00F7099A" w:rsidRPr="00025E88">
        <w:rPr>
          <w:rFonts w:ascii="Arial" w:hAnsi="Arial" w:cs="Arial"/>
          <w:sz w:val="24"/>
          <w:szCs w:val="24"/>
          <w:lang w:val="es-PR"/>
        </w:rPr>
        <w:t xml:space="preserve"> de Dólares anuales.</w:t>
      </w:r>
    </w:p>
    <w:p w:rsidR="00CA4D46" w:rsidRPr="00025E88" w:rsidRDefault="00CA4D46" w:rsidP="00025E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A356BD" w:rsidRDefault="00F46ECF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Se </w:t>
      </w:r>
      <w:r w:rsidR="008E3F82" w:rsidRPr="00025E88">
        <w:rPr>
          <w:rFonts w:ascii="Arial" w:hAnsi="Arial" w:cs="Arial"/>
          <w:sz w:val="24"/>
          <w:szCs w:val="24"/>
          <w:lang w:val="es-PR"/>
        </w:rPr>
        <w:t>depuró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el proceso de los </w:t>
      </w:r>
      <w:r w:rsidRPr="00025E88">
        <w:rPr>
          <w:rFonts w:ascii="Arial" w:hAnsi="Arial" w:cs="Arial"/>
          <w:i/>
          <w:sz w:val="24"/>
          <w:szCs w:val="24"/>
          <w:lang w:val="es-PR"/>
        </w:rPr>
        <w:t>“</w:t>
      </w:r>
      <w:proofErr w:type="spellStart"/>
      <w:r w:rsidRPr="00025E88">
        <w:rPr>
          <w:rFonts w:ascii="Arial" w:hAnsi="Arial" w:cs="Arial"/>
          <w:i/>
          <w:sz w:val="24"/>
          <w:szCs w:val="24"/>
          <w:lang w:val="es-PR"/>
        </w:rPr>
        <w:t>grants</w:t>
      </w:r>
      <w:proofErr w:type="spellEnd"/>
      <w:r w:rsidRPr="00025E88">
        <w:rPr>
          <w:rFonts w:ascii="Arial" w:hAnsi="Arial" w:cs="Arial"/>
          <w:i/>
          <w:sz w:val="24"/>
          <w:szCs w:val="24"/>
          <w:lang w:val="es-PR"/>
        </w:rPr>
        <w:t>”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federales de FTA para el reembolso de los gastos de mantenimiento del Tren Urbano</w:t>
      </w:r>
      <w:r w:rsidR="008E3F82" w:rsidRPr="00025E88">
        <w:rPr>
          <w:rFonts w:ascii="Arial" w:hAnsi="Arial" w:cs="Arial"/>
          <w:sz w:val="24"/>
          <w:szCs w:val="24"/>
          <w:lang w:val="es-PR"/>
        </w:rPr>
        <w:t>, lo que redundó en un aumento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$10 millones anuales.</w:t>
      </w:r>
    </w:p>
    <w:p w:rsidR="00025E88" w:rsidRPr="00025E88" w:rsidRDefault="00025E88" w:rsidP="00025E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P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tbl>
      <w:tblPr>
        <w:tblStyle w:val="LightList-Accent6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3510"/>
      </w:tblGrid>
      <w:tr w:rsidR="00A356BD" w:rsidRPr="008F1095" w:rsidTr="00E94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356BD" w:rsidRPr="00025E88" w:rsidRDefault="00A356BD" w:rsidP="00025E8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Año Fiscal</w:t>
            </w:r>
          </w:p>
        </w:tc>
        <w:tc>
          <w:tcPr>
            <w:tcW w:w="3510" w:type="dxa"/>
          </w:tcPr>
          <w:p w:rsidR="00A356BD" w:rsidRPr="00025E88" w:rsidRDefault="00A356BD" w:rsidP="00025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Cuantía Fondos Recibidos por FTA</w:t>
            </w:r>
          </w:p>
        </w:tc>
      </w:tr>
      <w:tr w:rsidR="00A356BD" w:rsidRPr="00025E88" w:rsidTr="00E9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356BD" w:rsidRPr="00025E88" w:rsidRDefault="00A356BD" w:rsidP="00025E8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2012</w:t>
            </w:r>
          </w:p>
        </w:tc>
        <w:tc>
          <w:tcPr>
            <w:tcW w:w="3510" w:type="dxa"/>
          </w:tcPr>
          <w:p w:rsidR="00A356BD" w:rsidRPr="00025E88" w:rsidRDefault="00A356BD" w:rsidP="0002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$12,000,000</w:t>
            </w:r>
          </w:p>
        </w:tc>
      </w:tr>
      <w:tr w:rsidR="00A356BD" w:rsidRPr="00025E88" w:rsidTr="00E94D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356BD" w:rsidRPr="00025E88" w:rsidRDefault="00A356BD" w:rsidP="00025E8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2013</w:t>
            </w:r>
          </w:p>
        </w:tc>
        <w:tc>
          <w:tcPr>
            <w:tcW w:w="3510" w:type="dxa"/>
          </w:tcPr>
          <w:p w:rsidR="00A356BD" w:rsidRPr="00025E88" w:rsidRDefault="00A356BD" w:rsidP="0002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$24,166,085</w:t>
            </w:r>
          </w:p>
        </w:tc>
      </w:tr>
      <w:tr w:rsidR="00A356BD" w:rsidRPr="00025E88" w:rsidTr="00E9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356BD" w:rsidRPr="00025E88" w:rsidRDefault="00A356BD" w:rsidP="00025E8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2014</w:t>
            </w:r>
          </w:p>
        </w:tc>
        <w:tc>
          <w:tcPr>
            <w:tcW w:w="3510" w:type="dxa"/>
          </w:tcPr>
          <w:p w:rsidR="00A356BD" w:rsidRPr="00025E88" w:rsidRDefault="00A356BD" w:rsidP="0002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$49,452,389</w:t>
            </w:r>
          </w:p>
        </w:tc>
      </w:tr>
      <w:tr w:rsidR="00A356BD" w:rsidRPr="00025E88" w:rsidTr="00E94D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356BD" w:rsidRPr="00025E88" w:rsidRDefault="00A356BD" w:rsidP="00025E8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2015</w:t>
            </w:r>
          </w:p>
        </w:tc>
        <w:tc>
          <w:tcPr>
            <w:tcW w:w="3510" w:type="dxa"/>
          </w:tcPr>
          <w:p w:rsidR="00A356BD" w:rsidRPr="00025E88" w:rsidRDefault="00A356BD" w:rsidP="0002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$46,996,660</w:t>
            </w:r>
          </w:p>
        </w:tc>
      </w:tr>
      <w:tr w:rsidR="00A356BD" w:rsidRPr="00025E88" w:rsidTr="00E9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356BD" w:rsidRPr="00025E88" w:rsidRDefault="00A356BD" w:rsidP="00025E88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2016</w:t>
            </w:r>
          </w:p>
        </w:tc>
        <w:tc>
          <w:tcPr>
            <w:tcW w:w="3510" w:type="dxa"/>
          </w:tcPr>
          <w:p w:rsidR="00A356BD" w:rsidRPr="00025E88" w:rsidRDefault="00A356BD" w:rsidP="0002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  <w:lang w:val="es-PR"/>
              </w:rPr>
              <w:t>$30,914,389</w:t>
            </w:r>
          </w:p>
        </w:tc>
      </w:tr>
    </w:tbl>
    <w:p w:rsidR="00A356BD" w:rsidRPr="00025E88" w:rsidRDefault="00A356BD" w:rsidP="00025E88">
      <w:pPr>
        <w:pStyle w:val="ListParagraph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  <w:lang w:val="es-PR"/>
        </w:rPr>
      </w:pPr>
    </w:p>
    <w:p w:rsidR="00F7099A" w:rsidRPr="00025E88" w:rsidRDefault="00F7099A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En junio de 2014, la Administración Federal de Carreter</w:t>
      </w:r>
      <w:r w:rsidR="008F1095">
        <w:rPr>
          <w:rFonts w:ascii="Arial" w:hAnsi="Arial" w:cs="Arial"/>
          <w:sz w:val="24"/>
          <w:szCs w:val="24"/>
          <w:lang w:val="es-PR"/>
        </w:rPr>
        <w:t>as (FHWA por sus siglas en inglé</w:t>
      </w:r>
      <w:r w:rsidRPr="00025E88">
        <w:rPr>
          <w:rFonts w:ascii="Arial" w:hAnsi="Arial" w:cs="Arial"/>
          <w:sz w:val="24"/>
          <w:szCs w:val="24"/>
          <w:lang w:val="es-PR"/>
        </w:rPr>
        <w:t>s) autorizó a la ACT a utilizar los créditos de peaje como pareo para el programa de fondos federales. Antes de los “</w:t>
      </w:r>
      <w:proofErr w:type="spellStart"/>
      <w:r w:rsidRPr="00025E88">
        <w:rPr>
          <w:rFonts w:ascii="Arial" w:hAnsi="Arial" w:cs="Arial"/>
          <w:sz w:val="24"/>
          <w:szCs w:val="24"/>
          <w:lang w:val="es-PR"/>
        </w:rPr>
        <w:t>toll</w:t>
      </w:r>
      <w:proofErr w:type="spellEnd"/>
      <w:r w:rsidRPr="00025E88">
        <w:rPr>
          <w:rFonts w:ascii="Arial" w:hAnsi="Arial" w:cs="Arial"/>
          <w:sz w:val="24"/>
          <w:szCs w:val="24"/>
          <w:lang w:val="es-PR"/>
        </w:rPr>
        <w:t xml:space="preserve"> </w:t>
      </w:r>
      <w:proofErr w:type="spellStart"/>
      <w:r w:rsidRPr="00025E88">
        <w:rPr>
          <w:rFonts w:ascii="Arial" w:hAnsi="Arial" w:cs="Arial"/>
          <w:sz w:val="24"/>
          <w:szCs w:val="24"/>
          <w:lang w:val="es-PR"/>
        </w:rPr>
        <w:t>credits</w:t>
      </w:r>
      <w:proofErr w:type="spellEnd"/>
      <w:r w:rsidRPr="00025E88">
        <w:rPr>
          <w:rFonts w:ascii="Arial" w:hAnsi="Arial" w:cs="Arial"/>
          <w:sz w:val="24"/>
          <w:szCs w:val="24"/>
          <w:lang w:val="es-PR"/>
        </w:rPr>
        <w:t>” la Autoridad tenía que aportar hasta un 20% del costo de los proyectos viales. Un total de $756</w:t>
      </w:r>
      <w:proofErr w:type="gramStart"/>
      <w:r w:rsidRPr="00025E88">
        <w:rPr>
          <w:rFonts w:ascii="Arial" w:hAnsi="Arial" w:cs="Arial"/>
          <w:sz w:val="24"/>
          <w:szCs w:val="24"/>
          <w:lang w:val="es-PR"/>
        </w:rPr>
        <w:t>,379,845.59</w:t>
      </w:r>
      <w:proofErr w:type="gramEnd"/>
      <w:r w:rsidRPr="00025E88">
        <w:rPr>
          <w:rFonts w:ascii="Arial" w:hAnsi="Arial" w:cs="Arial"/>
          <w:sz w:val="24"/>
          <w:szCs w:val="24"/>
          <w:lang w:val="es-PR"/>
        </w:rPr>
        <w:t xml:space="preserve"> en créditos fueron contabilizados entre los años 1997 al 2013. Además, el uso de créditos de peaje para pareo para </w:t>
      </w:r>
      <w:r w:rsidR="00107B9C" w:rsidRPr="00025E88">
        <w:rPr>
          <w:rFonts w:ascii="Arial" w:hAnsi="Arial" w:cs="Arial"/>
          <w:sz w:val="24"/>
          <w:szCs w:val="24"/>
          <w:lang w:val="es-PR"/>
        </w:rPr>
        <w:t>d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el programa y asignaciones federales que recibe la ACT a través de la </w:t>
      </w:r>
      <w:r w:rsidRPr="00025E88">
        <w:rPr>
          <w:rFonts w:ascii="Arial" w:hAnsi="Arial" w:cs="Arial"/>
          <w:i/>
          <w:sz w:val="24"/>
          <w:szCs w:val="24"/>
          <w:lang w:val="es-PR"/>
        </w:rPr>
        <w:t xml:space="preserve">Administración Federal de Tránsito 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(FTA por sus siglas en inglés) fue autorizado en septiembre de 2014. </w:t>
      </w:r>
      <w:r w:rsidR="00107B9C" w:rsidRPr="00025E88">
        <w:rPr>
          <w:rFonts w:ascii="Arial" w:hAnsi="Arial" w:cs="Arial"/>
          <w:sz w:val="24"/>
          <w:szCs w:val="24"/>
          <w:lang w:val="es-PR"/>
        </w:rPr>
        <w:t>El uso de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créditos de peaje como mecanismo de pareo</w:t>
      </w:r>
      <w:r w:rsidR="00107B9C" w:rsidRPr="00025E88">
        <w:rPr>
          <w:rFonts w:ascii="Arial" w:hAnsi="Arial" w:cs="Arial"/>
          <w:sz w:val="24"/>
          <w:szCs w:val="24"/>
          <w:lang w:val="es-PR"/>
        </w:rPr>
        <w:t xml:space="preserve">, tuvo el efecto de 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viabilizar </w:t>
      </w:r>
      <w:r w:rsidR="00107B9C" w:rsidRPr="00025E88">
        <w:rPr>
          <w:rFonts w:ascii="Arial" w:hAnsi="Arial" w:cs="Arial"/>
          <w:sz w:val="24"/>
          <w:szCs w:val="24"/>
          <w:lang w:val="es-PR"/>
        </w:rPr>
        <w:t>varios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proyectos de infraestructura que habían estado detenidos por la crítica situación fiscal que enfrentaba la ACT. El balance actual de créditos de peajes es de $668 Millones de dólares. </w:t>
      </w:r>
    </w:p>
    <w:p w:rsidR="00F7099A" w:rsidRPr="00025E88" w:rsidRDefault="00F7099A" w:rsidP="00025E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7099A" w:rsidRPr="00025E88" w:rsidRDefault="00A356BD" w:rsidP="00025E88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EA5617" wp14:editId="17F58F24">
            <wp:extent cx="3644157" cy="159442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38" cy="159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99A" w:rsidRPr="00025E88" w:rsidRDefault="00F7099A" w:rsidP="00025E8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3E0671" w:rsidRPr="00025E88" w:rsidRDefault="003E0671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Se logró reducir el consumo energético del TU en un 32% aproximadamente si comparamos el año fiscal 2012-2013 con el 2015-2016. Esto representa aproximadamente unos $3.2 M en ahorro.</w:t>
      </w:r>
    </w:p>
    <w:p w:rsidR="00A356BD" w:rsidRPr="00025E88" w:rsidRDefault="00A356BD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107B9C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C</w:t>
      </w:r>
      <w:r w:rsidR="003E0671" w:rsidRPr="00025E88">
        <w:rPr>
          <w:rFonts w:ascii="Arial" w:hAnsi="Arial" w:cs="Arial"/>
          <w:sz w:val="24"/>
          <w:szCs w:val="24"/>
          <w:lang w:val="es-PR"/>
        </w:rPr>
        <w:t>on la digitalización de documentos públicos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se redujeron los gastos de reproducción</w:t>
      </w:r>
      <w:r w:rsidR="003E0671" w:rsidRPr="00025E88">
        <w:rPr>
          <w:rFonts w:ascii="Arial" w:hAnsi="Arial" w:cs="Arial"/>
          <w:sz w:val="24"/>
          <w:szCs w:val="24"/>
          <w:lang w:val="es-PR"/>
        </w:rPr>
        <w:t>. Actualmente los pliegos de subasta se entregan en formato digital en un CD y no impresos. Se han digitalizado los comunicados de prensa, los nuevos formularios de los CESCO y los artes aprobados. Además, como parte del Acuerdo de Entendimiento entre la FHWA y la ACT, actualmente se están evaluando propuestas solicitadas a través de un proceso de RFQ/</w:t>
      </w:r>
      <w:proofErr w:type="spellStart"/>
      <w:r w:rsidR="003E0671" w:rsidRPr="00025E88">
        <w:rPr>
          <w:rFonts w:ascii="Arial" w:hAnsi="Arial" w:cs="Arial"/>
          <w:sz w:val="24"/>
          <w:szCs w:val="24"/>
          <w:lang w:val="es-PR"/>
        </w:rPr>
        <w:t>RFPs</w:t>
      </w:r>
      <w:proofErr w:type="spellEnd"/>
      <w:r w:rsidR="003E0671" w:rsidRPr="00025E88">
        <w:rPr>
          <w:rFonts w:ascii="Arial" w:hAnsi="Arial" w:cs="Arial"/>
          <w:sz w:val="24"/>
          <w:szCs w:val="24"/>
          <w:lang w:val="es-PR"/>
        </w:rPr>
        <w:t xml:space="preserve"> para los servicios de migración de correos electrónicos a Office 365, la adquisición e implementación de nuevo sistema de Oracle para las áreas de Finanzas, Recursos Humanos y </w:t>
      </w:r>
    </w:p>
    <w:p w:rsidR="00025E88" w:rsidRPr="00025E88" w:rsidRDefault="00025E88" w:rsidP="00025E88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E0671" w:rsidRPr="00025E88" w:rsidRDefault="003E0671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Tecnología y la adquisición e implementación de nuevo sistema de </w:t>
      </w:r>
      <w:r w:rsidRPr="00025E88">
        <w:rPr>
          <w:rFonts w:ascii="Arial" w:hAnsi="Arial" w:cs="Arial"/>
          <w:i/>
          <w:sz w:val="24"/>
          <w:szCs w:val="24"/>
          <w:lang w:val="es-PR"/>
        </w:rPr>
        <w:t xml:space="preserve">Project Management </w:t>
      </w:r>
      <w:proofErr w:type="spellStart"/>
      <w:r w:rsidRPr="00025E88">
        <w:rPr>
          <w:rFonts w:ascii="Arial" w:hAnsi="Arial" w:cs="Arial"/>
          <w:i/>
          <w:sz w:val="24"/>
          <w:szCs w:val="24"/>
          <w:lang w:val="es-PR"/>
        </w:rPr>
        <w:t>Information</w:t>
      </w:r>
      <w:proofErr w:type="spellEnd"/>
      <w:r w:rsidRPr="00025E88">
        <w:rPr>
          <w:rFonts w:ascii="Arial" w:hAnsi="Arial" w:cs="Arial"/>
          <w:i/>
          <w:sz w:val="24"/>
          <w:szCs w:val="24"/>
          <w:lang w:val="es-PR"/>
        </w:rPr>
        <w:t xml:space="preserve"> </w:t>
      </w:r>
      <w:proofErr w:type="spellStart"/>
      <w:r w:rsidRPr="00025E88">
        <w:rPr>
          <w:rFonts w:ascii="Arial" w:hAnsi="Arial" w:cs="Arial"/>
          <w:i/>
          <w:sz w:val="24"/>
          <w:szCs w:val="24"/>
          <w:lang w:val="es-PR"/>
        </w:rPr>
        <w:t>System</w:t>
      </w:r>
      <w:proofErr w:type="spellEnd"/>
      <w:r w:rsidRPr="00025E88">
        <w:rPr>
          <w:rFonts w:ascii="Arial" w:hAnsi="Arial" w:cs="Arial"/>
          <w:sz w:val="24"/>
          <w:szCs w:val="24"/>
          <w:lang w:val="es-PR"/>
        </w:rPr>
        <w:t xml:space="preserve"> (PMIS) para el manejo de proyectos.</w:t>
      </w:r>
    </w:p>
    <w:p w:rsidR="00F7099A" w:rsidRPr="00025E88" w:rsidRDefault="00F7099A" w:rsidP="00025E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46ECF" w:rsidRDefault="00F46ECF" w:rsidP="00025E8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En este último año fiscal logramos que, bajo ciertas condiciones, la aportación de FHWA en las certificaciones de los proyectos se reciban antes de hacer el pago a los contratistas, lo que alivia el flujo de fondos de la Autoridad.</w:t>
      </w:r>
    </w:p>
    <w:p w:rsidR="00025E88" w:rsidRPr="00025E88" w:rsidRDefault="00025E88" w:rsidP="00025E8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F72517" w:rsidRPr="00025E88" w:rsidRDefault="00F72517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>Recursos Humanos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72517" w:rsidRDefault="00F72517" w:rsidP="00025E8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sz w:val="24"/>
          <w:szCs w:val="24"/>
          <w:lang w:val="es-ES_tradnl"/>
        </w:rPr>
        <w:t xml:space="preserve">La ACT mantiene </w:t>
      </w:r>
      <w:r w:rsidR="00614CA3" w:rsidRPr="00025E88">
        <w:rPr>
          <w:rFonts w:ascii="Arial" w:hAnsi="Arial" w:cs="Arial"/>
          <w:sz w:val="24"/>
          <w:szCs w:val="24"/>
          <w:lang w:val="es-ES_tradnl"/>
        </w:rPr>
        <w:t xml:space="preserve">actualmente 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una plantilla de </w:t>
      </w:r>
      <w:r w:rsidR="003E0671" w:rsidRPr="00025E88">
        <w:rPr>
          <w:rFonts w:ascii="Arial" w:hAnsi="Arial" w:cs="Arial"/>
          <w:sz w:val="24"/>
          <w:szCs w:val="24"/>
          <w:lang w:val="es-ES_tradnl"/>
        </w:rPr>
        <w:t xml:space="preserve">1,503 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empleados. </w:t>
      </w:r>
      <w:r w:rsidR="00614CA3" w:rsidRPr="00025E88">
        <w:rPr>
          <w:rFonts w:ascii="Arial" w:hAnsi="Arial" w:cs="Arial"/>
          <w:sz w:val="24"/>
          <w:szCs w:val="24"/>
          <w:lang w:val="es-ES_tradnl"/>
        </w:rPr>
        <w:t>De estos hay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356BD" w:rsidRPr="00025E88">
        <w:rPr>
          <w:rFonts w:ascii="Arial" w:hAnsi="Arial" w:cs="Arial"/>
          <w:sz w:val="24"/>
          <w:szCs w:val="24"/>
          <w:lang w:val="es-ES_tradnl"/>
        </w:rPr>
        <w:t>64</w:t>
      </w:r>
      <w:r w:rsidR="003E0671" w:rsidRPr="00025E8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4616" w:rsidRPr="00025E88">
        <w:rPr>
          <w:rFonts w:ascii="Arial" w:hAnsi="Arial" w:cs="Arial"/>
          <w:sz w:val="24"/>
          <w:szCs w:val="24"/>
          <w:lang w:val="es-ES_tradnl"/>
        </w:rPr>
        <w:t xml:space="preserve">empleados </w:t>
      </w:r>
      <w:r w:rsidR="003E0671" w:rsidRPr="00025E88">
        <w:rPr>
          <w:rFonts w:ascii="Arial" w:hAnsi="Arial" w:cs="Arial"/>
          <w:sz w:val="24"/>
          <w:szCs w:val="24"/>
          <w:lang w:val="es-ES_tradnl"/>
        </w:rPr>
        <w:t>confianza</w:t>
      </w:r>
      <w:r w:rsidR="00464616" w:rsidRPr="00025E88">
        <w:rPr>
          <w:rFonts w:ascii="Arial" w:hAnsi="Arial" w:cs="Arial"/>
          <w:sz w:val="24"/>
          <w:szCs w:val="24"/>
          <w:lang w:val="es-ES_tradnl"/>
        </w:rPr>
        <w:t>, 40 en probatoria y</w:t>
      </w:r>
      <w:r w:rsidR="00A356BD" w:rsidRPr="00025E88">
        <w:rPr>
          <w:rFonts w:ascii="Arial" w:hAnsi="Arial" w:cs="Arial"/>
          <w:sz w:val="24"/>
          <w:szCs w:val="24"/>
          <w:lang w:val="es-ES_tradnl"/>
        </w:rPr>
        <w:t xml:space="preserve"> 4 transitorios</w:t>
      </w:r>
      <w:r w:rsidR="003E0671" w:rsidRPr="00025E88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464616" w:rsidRPr="00025E88">
        <w:rPr>
          <w:rFonts w:ascii="Arial" w:hAnsi="Arial" w:cs="Arial"/>
          <w:sz w:val="24"/>
          <w:szCs w:val="24"/>
          <w:lang w:val="es-ES_tradnl"/>
        </w:rPr>
        <w:t xml:space="preserve">De igual modo, actualmente hay 244 de estos puestos que son elegibles para reembolso federal. </w:t>
      </w:r>
      <w:r w:rsidR="00894DD0" w:rsidRPr="00025E88">
        <w:rPr>
          <w:rFonts w:ascii="Arial" w:hAnsi="Arial" w:cs="Arial"/>
          <w:sz w:val="24"/>
          <w:szCs w:val="24"/>
          <w:lang w:val="es-ES_tradnl"/>
        </w:rPr>
        <w:t xml:space="preserve"> Como medida de control de gastos se han mantenido vacantes </w:t>
      </w:r>
      <w:r w:rsidR="00614CA3" w:rsidRPr="00025E88">
        <w:rPr>
          <w:rFonts w:ascii="Arial" w:hAnsi="Arial" w:cs="Arial"/>
          <w:sz w:val="24"/>
          <w:szCs w:val="24"/>
          <w:lang w:val="es-ES_tradnl"/>
        </w:rPr>
        <w:t xml:space="preserve">casi el 50% de </w:t>
      </w:r>
      <w:r w:rsidR="00894DD0" w:rsidRPr="00025E88">
        <w:rPr>
          <w:rFonts w:ascii="Arial" w:hAnsi="Arial" w:cs="Arial"/>
          <w:sz w:val="24"/>
          <w:szCs w:val="24"/>
          <w:lang w:val="es-ES_tradnl"/>
        </w:rPr>
        <w:t>puestos de carrera</w:t>
      </w:r>
      <w:r w:rsidR="00614CA3" w:rsidRPr="00025E88">
        <w:rPr>
          <w:rFonts w:ascii="Arial" w:hAnsi="Arial" w:cs="Arial"/>
          <w:sz w:val="24"/>
          <w:szCs w:val="24"/>
          <w:lang w:val="es-ES_tradnl"/>
        </w:rPr>
        <w:t>. Por otro lado, ha habido una reducción de  significativa de puestos de confianza de $4</w:t>
      </w:r>
      <w:proofErr w:type="gramStart"/>
      <w:r w:rsidR="00614CA3" w:rsidRPr="00025E88">
        <w:rPr>
          <w:rFonts w:ascii="Arial" w:hAnsi="Arial" w:cs="Arial"/>
          <w:sz w:val="24"/>
          <w:szCs w:val="24"/>
          <w:lang w:val="es-ES_tradnl"/>
        </w:rPr>
        <w:t>,078,104</w:t>
      </w:r>
      <w:proofErr w:type="gramEnd"/>
      <w:r w:rsidR="00614CA3" w:rsidRPr="00025E88">
        <w:rPr>
          <w:rFonts w:ascii="Arial" w:hAnsi="Arial" w:cs="Arial"/>
          <w:sz w:val="24"/>
          <w:szCs w:val="24"/>
          <w:lang w:val="es-ES_tradnl"/>
        </w:rPr>
        <w:t xml:space="preserve"> en el año fiscal 2012-13 a $1,538,952.00 en el año fiscal 2016.</w:t>
      </w:r>
    </w:p>
    <w:p w:rsidR="00025E88" w:rsidRPr="00025E88" w:rsidRDefault="00025E88" w:rsidP="00025E8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14CA3" w:rsidRDefault="00894DD0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sz w:val="24"/>
          <w:szCs w:val="24"/>
          <w:lang w:val="es-ES_tradnl"/>
        </w:rPr>
        <w:t xml:space="preserve">Conforme a lo dispuesto en la Ley 211-2015, según enmendada, conocida como </w:t>
      </w:r>
      <w:r w:rsidRPr="00025E88">
        <w:rPr>
          <w:rFonts w:ascii="Arial" w:hAnsi="Arial" w:cs="Arial"/>
          <w:i/>
          <w:sz w:val="24"/>
          <w:szCs w:val="24"/>
          <w:lang w:val="es-ES_tradnl"/>
        </w:rPr>
        <w:t xml:space="preserve">“Ley del Programa de </w:t>
      </w:r>
      <w:proofErr w:type="spellStart"/>
      <w:r w:rsidRPr="00025E88">
        <w:rPr>
          <w:rFonts w:ascii="Arial" w:hAnsi="Arial" w:cs="Arial"/>
          <w:i/>
          <w:sz w:val="24"/>
          <w:szCs w:val="24"/>
          <w:lang w:val="es-ES_tradnl"/>
        </w:rPr>
        <w:t>Preretiro</w:t>
      </w:r>
      <w:proofErr w:type="spellEnd"/>
      <w:r w:rsidRPr="00025E88">
        <w:rPr>
          <w:rFonts w:ascii="Arial" w:hAnsi="Arial" w:cs="Arial"/>
          <w:i/>
          <w:sz w:val="24"/>
          <w:szCs w:val="24"/>
          <w:lang w:val="es-ES_tradnl"/>
        </w:rPr>
        <w:t xml:space="preserve"> Voluntario”</w:t>
      </w:r>
      <w:r w:rsidRPr="00025E88">
        <w:rPr>
          <w:rFonts w:ascii="Arial" w:hAnsi="Arial" w:cs="Arial"/>
          <w:sz w:val="24"/>
          <w:szCs w:val="24"/>
          <w:lang w:val="es-ES_tradnl"/>
        </w:rPr>
        <w:t xml:space="preserve">, la ACT se encuentra en el proceso de someter a la Oficina de Gerencia y Presupuesto el Plan Patronal propuesto para implementar el Plan de </w:t>
      </w:r>
      <w:proofErr w:type="spellStart"/>
      <w:r w:rsidRPr="00025E88">
        <w:rPr>
          <w:rFonts w:ascii="Arial" w:hAnsi="Arial" w:cs="Arial"/>
          <w:sz w:val="24"/>
          <w:szCs w:val="24"/>
          <w:lang w:val="es-ES_tradnl"/>
        </w:rPr>
        <w:t>Preretiro</w:t>
      </w:r>
      <w:proofErr w:type="spellEnd"/>
      <w:r w:rsidRPr="00025E88">
        <w:rPr>
          <w:rFonts w:ascii="Arial" w:hAnsi="Arial" w:cs="Arial"/>
          <w:sz w:val="24"/>
          <w:szCs w:val="24"/>
          <w:lang w:val="es-ES_tradnl"/>
        </w:rPr>
        <w:t xml:space="preserve"> Voluntario. </w:t>
      </w:r>
      <w:r w:rsidR="00533EAA" w:rsidRPr="00025E88">
        <w:rPr>
          <w:rFonts w:ascii="Arial" w:hAnsi="Arial" w:cs="Arial"/>
          <w:sz w:val="24"/>
          <w:szCs w:val="24"/>
          <w:lang w:val="es-ES_tradnl"/>
        </w:rPr>
        <w:t>De aprobarse el programa</w:t>
      </w:r>
      <w:r w:rsidR="00BB1546" w:rsidRPr="00025E88">
        <w:rPr>
          <w:rFonts w:ascii="Arial" w:hAnsi="Arial" w:cs="Arial"/>
          <w:sz w:val="24"/>
          <w:szCs w:val="24"/>
          <w:lang w:val="es-ES_tradnl"/>
        </w:rPr>
        <w:t>,</w:t>
      </w:r>
      <w:r w:rsidR="00533EAA" w:rsidRPr="00025E88">
        <w:rPr>
          <w:rFonts w:ascii="Arial" w:hAnsi="Arial" w:cs="Arial"/>
          <w:sz w:val="24"/>
          <w:szCs w:val="24"/>
          <w:lang w:val="es-ES_tradnl"/>
        </w:rPr>
        <w:t xml:space="preserve"> el ahorro</w:t>
      </w:r>
      <w:r w:rsidR="00BB1546" w:rsidRPr="00025E88">
        <w:rPr>
          <w:rFonts w:ascii="Arial" w:hAnsi="Arial" w:cs="Arial"/>
          <w:sz w:val="24"/>
          <w:szCs w:val="24"/>
          <w:lang w:val="es-ES_tradnl"/>
        </w:rPr>
        <w:t xml:space="preserve"> anual </w:t>
      </w:r>
      <w:r w:rsidR="00533EAA" w:rsidRPr="00025E88">
        <w:rPr>
          <w:rFonts w:ascii="Arial" w:hAnsi="Arial" w:cs="Arial"/>
          <w:sz w:val="24"/>
          <w:szCs w:val="24"/>
          <w:lang w:val="es-ES_tradnl"/>
        </w:rPr>
        <w:t xml:space="preserve"> proyectado se estima en </w:t>
      </w:r>
      <w:r w:rsidR="00BB1546" w:rsidRPr="00025E88">
        <w:rPr>
          <w:rFonts w:ascii="Arial" w:hAnsi="Arial" w:cs="Arial"/>
          <w:sz w:val="24"/>
          <w:szCs w:val="24"/>
          <w:lang w:val="es-ES_tradnl"/>
        </w:rPr>
        <w:t>$3</w:t>
      </w:r>
      <w:proofErr w:type="gramStart"/>
      <w:r w:rsidR="00BB1546" w:rsidRPr="00025E88">
        <w:rPr>
          <w:rFonts w:ascii="Arial" w:hAnsi="Arial" w:cs="Arial"/>
          <w:sz w:val="24"/>
          <w:szCs w:val="24"/>
          <w:lang w:val="es-ES_tradnl"/>
        </w:rPr>
        <w:t>,424,156.00</w:t>
      </w:r>
      <w:proofErr w:type="gramEnd"/>
      <w:r w:rsidR="00533EAA" w:rsidRPr="00025E88">
        <w:rPr>
          <w:rFonts w:ascii="Arial" w:hAnsi="Arial" w:cs="Arial"/>
          <w:sz w:val="24"/>
          <w:szCs w:val="24"/>
          <w:lang w:val="es-ES_tradnl"/>
        </w:rPr>
        <w:t>.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14CA3" w:rsidRPr="00025E88" w:rsidRDefault="00614CA3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>Servicios  a la Ciudadanía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E0671" w:rsidRDefault="003E0671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El sistema de recolección y cobro de peaje electrónico, </w:t>
      </w:r>
      <w:proofErr w:type="spellStart"/>
      <w:r w:rsidRPr="00025E88">
        <w:rPr>
          <w:rFonts w:ascii="Arial" w:hAnsi="Arial" w:cs="Arial"/>
          <w:sz w:val="24"/>
          <w:szCs w:val="24"/>
          <w:lang w:val="es-PR"/>
        </w:rPr>
        <w:t>AutoExpreso</w:t>
      </w:r>
      <w:proofErr w:type="spellEnd"/>
      <w:r w:rsidRPr="00025E88">
        <w:rPr>
          <w:rFonts w:ascii="Arial" w:hAnsi="Arial" w:cs="Arial"/>
          <w:sz w:val="24"/>
          <w:szCs w:val="24"/>
          <w:lang w:val="es-PR"/>
        </w:rPr>
        <w:t>, comenzó en 2016 a enviar notificaciones a los usuarios registrados cuando los balances de fondos disponibles estén bajos.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2030"/>
        <w:gridCol w:w="1170"/>
      </w:tblGrid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proofErr w:type="spellStart"/>
            <w:r w:rsidRPr="00025E88">
              <w:rPr>
                <w:rFonts w:ascii="Arial" w:hAnsi="Arial" w:cs="Arial"/>
                <w:b/>
                <w:sz w:val="24"/>
                <w:szCs w:val="24"/>
              </w:rPr>
              <w:t>Mensaje</w:t>
            </w:r>
            <w:proofErr w:type="spellEnd"/>
            <w:r w:rsidRPr="00025E88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025E88">
              <w:rPr>
                <w:rFonts w:ascii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025E88">
              <w:rPr>
                <w:rFonts w:ascii="Arial" w:hAnsi="Arial" w:cs="Arial"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13,148</w:t>
            </w:r>
          </w:p>
        </w:tc>
      </w:tr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025E88">
              <w:rPr>
                <w:rFonts w:ascii="Arial" w:hAnsi="Arial" w:cs="Arial"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668,896</w:t>
            </w:r>
          </w:p>
        </w:tc>
      </w:tr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1,012,017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665,511</w:t>
            </w:r>
          </w:p>
        </w:tc>
      </w:tr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025E88">
              <w:rPr>
                <w:rFonts w:ascii="Arial" w:hAnsi="Arial" w:cs="Arial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1,290,127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886,896</w:t>
            </w:r>
          </w:p>
        </w:tc>
      </w:tr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883,482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695,440</w:t>
            </w:r>
          </w:p>
        </w:tc>
      </w:tr>
      <w:tr w:rsidR="003E0671" w:rsidRPr="00025E88" w:rsidTr="00E94D79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1,318,207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1" w:rsidRPr="00025E88" w:rsidRDefault="003E0671" w:rsidP="00025E8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025E88">
              <w:rPr>
                <w:rFonts w:ascii="Arial" w:hAnsi="Arial" w:cs="Arial"/>
                <w:sz w:val="24"/>
                <w:szCs w:val="24"/>
              </w:rPr>
              <w:t>728,637</w:t>
            </w:r>
          </w:p>
        </w:tc>
      </w:tr>
    </w:tbl>
    <w:p w:rsidR="003E0671" w:rsidRPr="00025E88" w:rsidRDefault="003E0671" w:rsidP="00025E8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PR"/>
        </w:rPr>
      </w:pPr>
    </w:p>
    <w:p w:rsidR="00025E88" w:rsidRDefault="003E0671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En respuesta a las situaciones surgidas con el sistema de cobro electrónico de peaje y con la aprobación de la Ley 39 de 25 de marzo de 2015, la Autoridad de Carreteras y Transportación estableció un equipo de trabajo en el Centro Gubernamental de Minillas.</w:t>
      </w:r>
      <w:r w:rsidR="00614CA3" w:rsidRPr="00025E88">
        <w:rPr>
          <w:rFonts w:ascii="Arial" w:hAnsi="Arial" w:cs="Arial"/>
          <w:sz w:val="24"/>
          <w:szCs w:val="24"/>
          <w:lang w:val="es-PR"/>
        </w:rPr>
        <w:t xml:space="preserve"> </w:t>
      </w:r>
      <w:r w:rsidRPr="00025E88">
        <w:rPr>
          <w:rFonts w:ascii="Arial" w:hAnsi="Arial" w:cs="Arial"/>
          <w:sz w:val="24"/>
          <w:szCs w:val="24"/>
          <w:lang w:val="es-PR"/>
        </w:rPr>
        <w:t>Además, de l</w:t>
      </w:r>
      <w:r w:rsidR="00107B9C" w:rsidRPr="00025E88">
        <w:rPr>
          <w:rFonts w:ascii="Arial" w:hAnsi="Arial" w:cs="Arial"/>
          <w:sz w:val="24"/>
          <w:szCs w:val="24"/>
          <w:lang w:val="es-PR"/>
        </w:rPr>
        <w:t>a Oficina de Minillas, como parte de los servicios que se ofrecen en los siete CESCOS alrededor de la isla, se incluyeron “</w:t>
      </w:r>
      <w:r w:rsidRPr="00025E88">
        <w:rPr>
          <w:rFonts w:ascii="Arial" w:hAnsi="Arial" w:cs="Arial"/>
          <w:sz w:val="24"/>
          <w:szCs w:val="24"/>
          <w:lang w:val="es-PR"/>
        </w:rPr>
        <w:t>ventanilla</w:t>
      </w:r>
      <w:r w:rsidR="00107B9C" w:rsidRPr="00025E88">
        <w:rPr>
          <w:rFonts w:ascii="Arial" w:hAnsi="Arial" w:cs="Arial"/>
          <w:sz w:val="24"/>
          <w:szCs w:val="24"/>
          <w:lang w:val="es-PR"/>
        </w:rPr>
        <w:t xml:space="preserve">s” 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de </w:t>
      </w:r>
      <w:proofErr w:type="spellStart"/>
      <w:r w:rsidRPr="00025E88">
        <w:rPr>
          <w:rFonts w:ascii="Arial" w:hAnsi="Arial" w:cs="Arial"/>
          <w:sz w:val="24"/>
          <w:szCs w:val="24"/>
          <w:lang w:val="es-PR"/>
        </w:rPr>
        <w:t>AutoExpreso</w:t>
      </w:r>
      <w:proofErr w:type="spellEnd"/>
      <w:r w:rsidRPr="00025E88">
        <w:rPr>
          <w:rFonts w:ascii="Arial" w:hAnsi="Arial" w:cs="Arial"/>
          <w:sz w:val="24"/>
          <w:szCs w:val="24"/>
          <w:lang w:val="es-PR"/>
        </w:rPr>
        <w:t xml:space="preserve">.  </w:t>
      </w:r>
    </w:p>
    <w:p w:rsid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8B3270" w:rsidRDefault="003E0671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>Durante el período de enero a agosto de 2016, se han atendido 161,871 ciudadanos en las diferentes instalaciones que atie</w:t>
      </w:r>
      <w:r w:rsidR="00614CA3" w:rsidRPr="00025E88">
        <w:rPr>
          <w:rFonts w:ascii="Arial" w:hAnsi="Arial" w:cs="Arial"/>
          <w:sz w:val="24"/>
          <w:szCs w:val="24"/>
          <w:lang w:val="es-PR"/>
        </w:rPr>
        <w:t xml:space="preserve">nden los asuntos de </w:t>
      </w:r>
      <w:proofErr w:type="spellStart"/>
      <w:r w:rsidR="00614CA3" w:rsidRPr="00025E88">
        <w:rPr>
          <w:rFonts w:ascii="Arial" w:hAnsi="Arial" w:cs="Arial"/>
          <w:sz w:val="24"/>
          <w:szCs w:val="24"/>
          <w:lang w:val="es-PR"/>
        </w:rPr>
        <w:t>AutoExpreso</w:t>
      </w:r>
      <w:proofErr w:type="spellEnd"/>
      <w:r w:rsidR="00614CA3" w:rsidRPr="00025E88">
        <w:rPr>
          <w:rFonts w:ascii="Arial" w:hAnsi="Arial" w:cs="Arial"/>
          <w:sz w:val="24"/>
          <w:szCs w:val="24"/>
          <w:lang w:val="es-PR"/>
        </w:rPr>
        <w:t>.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3E0671" w:rsidRPr="00025E88" w:rsidRDefault="003E0671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>Seguridad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64616" w:rsidRPr="00025E88" w:rsidRDefault="003E0671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En </w:t>
      </w:r>
      <w:r w:rsidR="00614CA3" w:rsidRPr="00025E88">
        <w:rPr>
          <w:rFonts w:ascii="Arial" w:hAnsi="Arial" w:cs="Arial"/>
          <w:sz w:val="24"/>
          <w:szCs w:val="24"/>
          <w:lang w:val="es-PR"/>
        </w:rPr>
        <w:t>el 2014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se firmó memorando de entendimiento entre el DTOP, ACT, la Policía de Puerto Rico y la Administración Federal de Carreteras (FHWA por sus siglas en inglés).</w:t>
      </w:r>
      <w:r w:rsidR="00614CA3" w:rsidRPr="00025E88">
        <w:rPr>
          <w:rFonts w:ascii="Arial" w:hAnsi="Arial" w:cs="Arial"/>
          <w:sz w:val="24"/>
          <w:szCs w:val="24"/>
          <w:lang w:val="es-PR"/>
        </w:rPr>
        <w:t xml:space="preserve"> Además, 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se cumplió con la creación del Plan Estratégico de Seguridad Vial (SHSP por sus siglas en ingles) el cual libera unos </w:t>
      </w:r>
    </w:p>
    <w:p w:rsidR="00464616" w:rsidRPr="00025E88" w:rsidRDefault="00464616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107B9C" w:rsidRDefault="003E0671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$30 Millones de Dólares federales anuales para la construcción y desarrollo de proyectos e iniciativas dirigidos a atender seguridad vial. </w:t>
      </w:r>
    </w:p>
    <w:p w:rsidR="00025E88" w:rsidRPr="00025E88" w:rsidRDefault="00025E88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614CA3" w:rsidRPr="00025E88" w:rsidRDefault="00614CA3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 xml:space="preserve">Proyectos 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614CA3" w:rsidRPr="00025E88" w:rsidRDefault="00614CA3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sz w:val="24"/>
          <w:szCs w:val="24"/>
          <w:lang w:val="es-PR"/>
        </w:rPr>
        <w:t xml:space="preserve">Pese a su crítica situación fiscal y el hecho de </w:t>
      </w:r>
      <w:r w:rsidR="00107B9C" w:rsidRPr="00025E88">
        <w:rPr>
          <w:rFonts w:ascii="Arial" w:hAnsi="Arial" w:cs="Arial"/>
          <w:sz w:val="24"/>
          <w:szCs w:val="24"/>
          <w:lang w:val="es-PR"/>
        </w:rPr>
        <w:t xml:space="preserve">no contar con </w:t>
      </w:r>
      <w:r w:rsidRPr="00025E88">
        <w:rPr>
          <w:rFonts w:ascii="Arial" w:hAnsi="Arial" w:cs="Arial"/>
          <w:sz w:val="24"/>
          <w:szCs w:val="24"/>
          <w:lang w:val="es-PR"/>
        </w:rPr>
        <w:t>fondos propios</w:t>
      </w:r>
      <w:r w:rsidR="00107B9C" w:rsidRPr="00025E88">
        <w:rPr>
          <w:rFonts w:ascii="Arial" w:hAnsi="Arial" w:cs="Arial"/>
          <w:sz w:val="24"/>
          <w:szCs w:val="24"/>
          <w:lang w:val="es-PR"/>
        </w:rPr>
        <w:t xml:space="preserve"> suficientes </w:t>
      </w:r>
      <w:r w:rsidRPr="00025E88">
        <w:rPr>
          <w:rFonts w:ascii="Arial" w:hAnsi="Arial" w:cs="Arial"/>
          <w:sz w:val="24"/>
          <w:szCs w:val="24"/>
          <w:lang w:val="es-PR"/>
        </w:rPr>
        <w:t xml:space="preserve"> para llevar a cabo proyectos, la ACT logró mantener su programa de mejoras capitales a través del programa de mejoras capitales federal. A tales efectos se logró la siguiente inversión:</w:t>
      </w:r>
    </w:p>
    <w:p w:rsidR="003E0671" w:rsidRPr="00025E88" w:rsidRDefault="00614CA3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025E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812960" wp14:editId="701D24C9">
            <wp:extent cx="4969403" cy="3066058"/>
            <wp:effectExtent l="19050" t="0" r="264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03" cy="306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71" w:rsidRPr="00025E88" w:rsidRDefault="00611EEA" w:rsidP="00025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25E88">
        <w:rPr>
          <w:rFonts w:ascii="Arial" w:hAnsi="Arial" w:cs="Arial"/>
          <w:b/>
          <w:sz w:val="24"/>
          <w:szCs w:val="24"/>
          <w:lang w:val="es-ES_tradnl"/>
        </w:rPr>
        <w:t>Resumen:</w:t>
      </w:r>
    </w:p>
    <w:p w:rsidR="00025E88" w:rsidRPr="00025E88" w:rsidRDefault="00025E88" w:rsidP="00025E8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611EEA" w:rsidRPr="00025E88" w:rsidRDefault="00611EEA" w:rsidP="00025E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25E88">
        <w:rPr>
          <w:rFonts w:ascii="Arial" w:hAnsi="Arial" w:cs="Arial"/>
          <w:sz w:val="24"/>
          <w:szCs w:val="24"/>
          <w:lang w:val="es-ES_tradnl"/>
        </w:rPr>
        <w:t>En resumen, la ACT pese a su crítica situación fiscal y al verse en deudas de líneas de crédito sin fuente de repago, ha logrado continuar cumpliendo con su misión principal. Además, ha aportado al crecimiento y desarrollo económico de Puerto Rico a través de sus proyectos de mejoras capitales y ha cumplido con la política pública y compromisos programáticos y metas que se han trazado</w:t>
      </w:r>
      <w:bookmarkStart w:id="0" w:name="_GoBack"/>
      <w:bookmarkEnd w:id="0"/>
      <w:r w:rsidRPr="00025E88">
        <w:rPr>
          <w:rFonts w:ascii="Arial" w:hAnsi="Arial" w:cs="Arial"/>
          <w:sz w:val="24"/>
          <w:szCs w:val="24"/>
          <w:lang w:val="es-ES_tradnl"/>
        </w:rPr>
        <w:t>. De igual manera, se ha logrado mantener control de gastos, el no despido de empleados públicos, la maximización de recursos y fondos federales.</w:t>
      </w:r>
    </w:p>
    <w:sectPr w:rsidR="00611EEA" w:rsidRPr="00025E88" w:rsidSect="00315C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4B" w:rsidRPr="00E560F5" w:rsidRDefault="002E4D4B" w:rsidP="00D5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separator/>
      </w:r>
    </w:p>
  </w:endnote>
  <w:endnote w:type="continuationSeparator" w:id="0">
    <w:p w:rsidR="002E4D4B" w:rsidRPr="00E560F5" w:rsidRDefault="002E4D4B" w:rsidP="00D5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DC" w:rsidRDefault="00D56ADC">
    <w:pPr>
      <w:pStyle w:val="Footer"/>
    </w:pPr>
    <w:r w:rsidRPr="00D56ADC">
      <w:rPr>
        <w:noProof/>
      </w:rPr>
      <w:drawing>
        <wp:anchor distT="0" distB="0" distL="114300" distR="114300" simplePos="0" relativeHeight="251661312" behindDoc="1" locked="0" layoutInCell="1" allowOverlap="1" wp14:anchorId="72A2DAB5" wp14:editId="6CAD4AD6">
          <wp:simplePos x="0" y="0"/>
          <wp:positionH relativeFrom="page">
            <wp:posOffset>800100</wp:posOffset>
          </wp:positionH>
          <wp:positionV relativeFrom="margin">
            <wp:posOffset>8067675</wp:posOffset>
          </wp:positionV>
          <wp:extent cx="6400800" cy="895350"/>
          <wp:effectExtent l="0" t="0" r="0" b="0"/>
          <wp:wrapNone/>
          <wp:docPr id="2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4B" w:rsidRPr="00E560F5" w:rsidRDefault="002E4D4B" w:rsidP="00D5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separator/>
      </w:r>
    </w:p>
  </w:footnote>
  <w:footnote w:type="continuationSeparator" w:id="0">
    <w:p w:rsidR="002E4D4B" w:rsidRPr="00E560F5" w:rsidRDefault="002E4D4B" w:rsidP="00D5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174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14CA3" w:rsidRPr="00025E88" w:rsidRDefault="008B3270">
        <w:pPr>
          <w:pStyle w:val="Header"/>
          <w:jc w:val="right"/>
          <w:rPr>
            <w:rFonts w:ascii="Arial" w:hAnsi="Arial" w:cs="Arial"/>
          </w:rPr>
        </w:pPr>
        <w:r w:rsidRPr="00025E88">
          <w:rPr>
            <w:rFonts w:ascii="Arial" w:hAnsi="Arial" w:cs="Arial"/>
            <w:noProof/>
          </w:rPr>
          <w:drawing>
            <wp:anchor distT="0" distB="0" distL="114300" distR="114300" simplePos="0" relativeHeight="251663360" behindDoc="1" locked="0" layoutInCell="1" allowOverlap="1" wp14:anchorId="22157BB4" wp14:editId="2D3759FF">
              <wp:simplePos x="0" y="0"/>
              <wp:positionH relativeFrom="column">
                <wp:posOffset>-571500</wp:posOffset>
              </wp:positionH>
              <wp:positionV relativeFrom="paragraph">
                <wp:posOffset>-123825</wp:posOffset>
              </wp:positionV>
              <wp:extent cx="2390775" cy="828675"/>
              <wp:effectExtent l="0" t="0" r="0" b="0"/>
              <wp:wrapNone/>
              <wp:docPr id="1" name="shape205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이미지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25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3343" cy="8269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E4D4B" w:rsidRPr="00025E88">
          <w:rPr>
            <w:rFonts w:ascii="Arial" w:hAnsi="Arial" w:cs="Arial"/>
          </w:rPr>
          <w:fldChar w:fldCharType="begin"/>
        </w:r>
        <w:r w:rsidR="002E4D4B" w:rsidRPr="00025E88">
          <w:rPr>
            <w:rFonts w:ascii="Arial" w:hAnsi="Arial" w:cs="Arial"/>
          </w:rPr>
          <w:instrText xml:space="preserve"> PAGE   \* MERGEFORMAT </w:instrText>
        </w:r>
        <w:r w:rsidR="002E4D4B" w:rsidRPr="00025E88">
          <w:rPr>
            <w:rFonts w:ascii="Arial" w:hAnsi="Arial" w:cs="Arial"/>
          </w:rPr>
          <w:fldChar w:fldCharType="separate"/>
        </w:r>
        <w:r w:rsidR="008F1095">
          <w:rPr>
            <w:rFonts w:ascii="Arial" w:hAnsi="Arial" w:cs="Arial"/>
            <w:noProof/>
          </w:rPr>
          <w:t>5</w:t>
        </w:r>
        <w:r w:rsidR="002E4D4B" w:rsidRPr="00025E88">
          <w:rPr>
            <w:rFonts w:ascii="Arial" w:hAnsi="Arial" w:cs="Arial"/>
            <w:noProof/>
          </w:rPr>
          <w:fldChar w:fldCharType="end"/>
        </w:r>
      </w:p>
    </w:sdtContent>
  </w:sdt>
  <w:p w:rsidR="00D56ADC" w:rsidRDefault="00D56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176"/>
    <w:multiLevelType w:val="hybridMultilevel"/>
    <w:tmpl w:val="552CF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011B2"/>
    <w:multiLevelType w:val="hybridMultilevel"/>
    <w:tmpl w:val="4A142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F7736"/>
    <w:multiLevelType w:val="hybridMultilevel"/>
    <w:tmpl w:val="A688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D783D"/>
    <w:multiLevelType w:val="hybridMultilevel"/>
    <w:tmpl w:val="172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CAF"/>
    <w:multiLevelType w:val="hybridMultilevel"/>
    <w:tmpl w:val="E3421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B3C75"/>
    <w:multiLevelType w:val="hybridMultilevel"/>
    <w:tmpl w:val="04966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8B5C23"/>
    <w:multiLevelType w:val="hybridMultilevel"/>
    <w:tmpl w:val="F3360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52885"/>
    <w:multiLevelType w:val="hybridMultilevel"/>
    <w:tmpl w:val="987668EE"/>
    <w:lvl w:ilvl="0" w:tplc="7EE0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E62F8"/>
    <w:multiLevelType w:val="hybridMultilevel"/>
    <w:tmpl w:val="DDAC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4A4CA6"/>
    <w:multiLevelType w:val="hybridMultilevel"/>
    <w:tmpl w:val="A0521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F0652D"/>
    <w:multiLevelType w:val="hybridMultilevel"/>
    <w:tmpl w:val="7E24A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17"/>
    <w:rsid w:val="000259B1"/>
    <w:rsid w:val="00025E88"/>
    <w:rsid w:val="000F0C76"/>
    <w:rsid w:val="00107480"/>
    <w:rsid w:val="00107B9C"/>
    <w:rsid w:val="0012591F"/>
    <w:rsid w:val="002E4D4B"/>
    <w:rsid w:val="00315C1C"/>
    <w:rsid w:val="003D2B59"/>
    <w:rsid w:val="003E0671"/>
    <w:rsid w:val="00464616"/>
    <w:rsid w:val="005318CC"/>
    <w:rsid w:val="00533EAA"/>
    <w:rsid w:val="00611EEA"/>
    <w:rsid w:val="00614CA3"/>
    <w:rsid w:val="00681314"/>
    <w:rsid w:val="00894DD0"/>
    <w:rsid w:val="008B3270"/>
    <w:rsid w:val="008E3F82"/>
    <w:rsid w:val="008F1095"/>
    <w:rsid w:val="009D3D4D"/>
    <w:rsid w:val="00A356BD"/>
    <w:rsid w:val="00B9662D"/>
    <w:rsid w:val="00BB1546"/>
    <w:rsid w:val="00C00E2E"/>
    <w:rsid w:val="00C04404"/>
    <w:rsid w:val="00CA4D46"/>
    <w:rsid w:val="00CB4AF3"/>
    <w:rsid w:val="00D56ADC"/>
    <w:rsid w:val="00D932D2"/>
    <w:rsid w:val="00DB1CAA"/>
    <w:rsid w:val="00E669C0"/>
    <w:rsid w:val="00E83EFB"/>
    <w:rsid w:val="00EA2953"/>
    <w:rsid w:val="00F46ECF"/>
    <w:rsid w:val="00F7099A"/>
    <w:rsid w:val="00F72517"/>
    <w:rsid w:val="00F90242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DC"/>
  </w:style>
  <w:style w:type="paragraph" w:styleId="Footer">
    <w:name w:val="footer"/>
    <w:basedOn w:val="Normal"/>
    <w:link w:val="FooterChar"/>
    <w:uiPriority w:val="99"/>
    <w:unhideWhenUsed/>
    <w:rsid w:val="00D5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DC"/>
  </w:style>
  <w:style w:type="table" w:styleId="MediumShading1-Accent1">
    <w:name w:val="Medium Shading 1 Accent 1"/>
    <w:basedOn w:val="TableNormal"/>
    <w:uiPriority w:val="63"/>
    <w:rsid w:val="00F7099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70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F70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3E067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DC"/>
  </w:style>
  <w:style w:type="paragraph" w:styleId="Footer">
    <w:name w:val="footer"/>
    <w:basedOn w:val="Normal"/>
    <w:link w:val="FooterChar"/>
    <w:uiPriority w:val="99"/>
    <w:unhideWhenUsed/>
    <w:rsid w:val="00D5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DC"/>
  </w:style>
  <w:style w:type="table" w:styleId="MediumShading1-Accent1">
    <w:name w:val="Medium Shading 1 Accent 1"/>
    <w:basedOn w:val="TableNormal"/>
    <w:uiPriority w:val="63"/>
    <w:rsid w:val="00F7099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70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F70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3E067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E8988E51AF458EDCDD9C6CA9FDCE" ma:contentTypeVersion="0" ma:contentTypeDescription="Create a new document." ma:contentTypeScope="" ma:versionID="e7f0c012ea857c105583ad486adb90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BE04C-153C-4A28-8EAC-892B232B3A42}"/>
</file>

<file path=customXml/itemProps2.xml><?xml version="1.0" encoding="utf-8"?>
<ds:datastoreItem xmlns:ds="http://schemas.openxmlformats.org/officeDocument/2006/customXml" ds:itemID="{7B8F5334-E283-4A45-86AA-A195AFEC3369}"/>
</file>

<file path=customXml/itemProps3.xml><?xml version="1.0" encoding="utf-8"?>
<ds:datastoreItem xmlns:ds="http://schemas.openxmlformats.org/officeDocument/2006/customXml" ds:itemID="{17DDEC2A-FF02-4D0D-8803-6946F676277A}"/>
</file>

<file path=customXml/itemProps4.xml><?xml version="1.0" encoding="utf-8"?>
<ds:datastoreItem xmlns:ds="http://schemas.openxmlformats.org/officeDocument/2006/customXml" ds:itemID="{3DD92190-E813-404D-84B9-AFBD97010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mlora</dc:creator>
  <cp:lastModifiedBy>Daviana Torres Agosto</cp:lastModifiedBy>
  <cp:revision>4</cp:revision>
  <cp:lastPrinted>2016-10-14T23:03:00Z</cp:lastPrinted>
  <dcterms:created xsi:type="dcterms:W3CDTF">2016-10-14T22:59:00Z</dcterms:created>
  <dcterms:modified xsi:type="dcterms:W3CDTF">2016-10-17T20:23:00Z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0x010100DE48E8988E51AF458EDCDD9C6CA9FDCE</vt:lpwstr>
  </property>
</Properties>
</file>